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15F" w:rsidRDefault="00C4715F" w:rsidP="00CF547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1954522"/>
      <w:r w:rsidRPr="00C4715F">
        <w:rPr>
          <w:rFonts w:ascii="Times New Roman" w:hAnsi="Times New Roman"/>
          <w:color w:val="000000"/>
          <w:sz w:val="28"/>
          <w:lang w:val="ru-RU"/>
        </w:rPr>
        <w:drawing>
          <wp:inline distT="0" distB="0" distL="0" distR="0" wp14:anchorId="5A7FF187" wp14:editId="04C63CDF">
            <wp:extent cx="6284644" cy="84128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5847" cy="841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15F" w:rsidRDefault="00C4715F" w:rsidP="00CF547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4715F" w:rsidRDefault="00C4715F" w:rsidP="00CF547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C05C6" w:rsidRPr="00DF7097" w:rsidRDefault="00CF5474" w:rsidP="00CF5474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1" w:name="_GoBack"/>
      <w:bookmarkEnd w:id="1"/>
      <w:r w:rsidRPr="00DF709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C05C6" w:rsidRPr="00DF7097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DF7097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AC05C6" w:rsidRPr="00DF7097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AC05C6" w:rsidRPr="00DF7097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AC05C6" w:rsidRPr="00DF7097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AC05C6" w:rsidRPr="00DF7097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</w:t>
      </w:r>
      <w:r w:rsidRPr="00CF54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жизни, экологического мышления, ценностного отношения к живой природе и человеку.</w:t>
      </w:r>
    </w:p>
    <w:p w:rsidR="00502819" w:rsidRDefault="00CF54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F7097">
        <w:rPr>
          <w:rFonts w:ascii="Times New Roman" w:hAnsi="Times New Roman"/>
          <w:color w:val="000000"/>
          <w:sz w:val="24"/>
          <w:szCs w:val="24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</w:t>
      </w:r>
      <w:r w:rsidRPr="00CF54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культуросообразного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биологического образования.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агробиотехнологий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AC05C6" w:rsidRPr="00CF5474" w:rsidRDefault="00AC05C6">
      <w:pPr>
        <w:rPr>
          <w:lang w:val="ru-RU"/>
        </w:rPr>
        <w:sectPr w:rsidR="00AC05C6" w:rsidRPr="00CF5474">
          <w:pgSz w:w="11906" w:h="16383"/>
          <w:pgMar w:top="1134" w:right="850" w:bottom="1134" w:left="1701" w:header="720" w:footer="720" w:gutter="0"/>
          <w:cols w:space="720"/>
        </w:sectPr>
      </w:pPr>
    </w:p>
    <w:p w:rsidR="00AC05C6" w:rsidRPr="00502819" w:rsidRDefault="00CF5474" w:rsidP="00CF547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11954526"/>
      <w:bookmarkEnd w:id="0"/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1. Биология как наука.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Портреты: Ч. Дарвин, Г. Мендель, Н. К. Кольцов, Дж. Уотсон и Ф. Крик.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«Методы познания живой природы».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№ 1. «Использование различных методов при изучении биологических объектов».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Живые системы и их организация.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экосистемный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(биогеоценотический), биосферный.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«Основные признаки жизни», «Уровни организации живой природы».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модель молекулы ДНК.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3. Химический состав и строение клетки.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Функции воды и минеральных веществ в клетке. Поддержание осмотического баланса.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Углеводы: моносахариды (глюкоза, рибоза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Липиды: триглицериды, фосфолипиды, стероиды.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Гидрофильно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Типы клеток: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эукариотическая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Особенности строения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клетки. Клеточная стенка бактерий. Строение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клетки. Основные отличия растительной, животной и грибной клетки.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Поверхностные структуры клеток – клеточная стенка,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гликокаликс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Одномембранные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органоиды клетки: ЭПС, аппарат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Гольджи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Немембранные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Транспорт веществ в клетке.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Портреты: А. Левенгук, Р. Гук, Т. Шванн, М.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Шлейден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, Р. Вирхов, Дж. Уотсон, Ф. Крик, М.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Уилкинс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, Р. Франклин, К. М. Бэр.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клетки», «Строение ядра клетки», «Углеводы», «Липиды».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Жизнедеятельность клетки.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Фотосинтез. Световая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темновая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Хемосинтез.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Хемосинтезирующие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бактерии. Значение хемосинтеза для жизни на Земле.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фосфорилирование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. Эффективность энергетического обмена.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интеграза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. Профилактика распространения вирусных заболеваний.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Портреты: Н. К. Кольцов, Д. И. Ивановский, К. А. Тимирязев.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5. Размножение и индивидуальное развитие организмов.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Программируемая гибель клетки –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апоптоз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Половое размножение, его отличия от бесполого.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6. Наследственность и изменчивость организмов.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Хромосомная теория наследственности. Генетические карты.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Генетика пола. Хромосомное определение пола.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Аутосомы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половые хромосомы.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Гомогаметные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гетерогаметные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организмы. Наследование признаков, сцепленных с полом.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причины мутаций. Мутагенные факторы. Закон гомологических рядов в наследственной изменчивости Н. И. Вавилова.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Внеядерная наследственность и изменчивость.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полногеномное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секвенирование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генотипирование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скрещивание», «Цитологические основы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Модификационная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скрещивания у дрозофилы на готовых микропрепаратах».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Лабораторная работа № 6. «Изучение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изменчивости, построение вариационного ряда и вариационной кривой».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Лабораторная работа № 7. «Анализ мутаций у дрозофилы на готовых микропрепаратах».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Практическая работа № 2. «Составление и анализ родословных человека».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Тема 7. Селекция организмов. Основы биотехнологии.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полиплоидов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. Достижения селекции растений, животных и микроорганизмов.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трансгенных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Демонстрации: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Портреты: Н. И. Вавилов, И. В. Мичурин, Г. Д. Карпеченко, М. Ф. Иванов.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Экскурсия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агроуниверситета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научного центра)».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CF5474" w:rsidRDefault="00AC05C6">
      <w:pPr>
        <w:rPr>
          <w:lang w:val="ru-RU"/>
        </w:rPr>
        <w:sectPr w:rsidR="00AC05C6" w:rsidRPr="00CF5474">
          <w:pgSz w:w="11906" w:h="16383"/>
          <w:pgMar w:top="1134" w:right="850" w:bottom="1134" w:left="1701" w:header="720" w:footer="720" w:gutter="0"/>
          <w:cols w:space="720"/>
        </w:sectPr>
      </w:pPr>
    </w:p>
    <w:p w:rsidR="00AC05C6" w:rsidRPr="00502819" w:rsidRDefault="00CF54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1954527"/>
      <w:bookmarkEnd w:id="2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предметным.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C05C6" w:rsidRPr="00502819" w:rsidRDefault="00AC05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C05C6" w:rsidRPr="00502819" w:rsidRDefault="00CF54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понимание эмоционального воздействия живой природы и её ценности;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AC05C6" w:rsidRPr="00502819" w:rsidRDefault="00AC05C6">
      <w:pPr>
        <w:spacing w:after="0"/>
        <w:ind w:left="120"/>
        <w:rPr>
          <w:sz w:val="24"/>
          <w:szCs w:val="24"/>
          <w:lang w:val="ru-RU"/>
        </w:rPr>
      </w:pPr>
    </w:p>
    <w:p w:rsidR="00AC05C6" w:rsidRPr="00502819" w:rsidRDefault="00CF5474">
      <w:pPr>
        <w:spacing w:after="0"/>
        <w:ind w:left="120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C05C6" w:rsidRPr="00502819" w:rsidRDefault="00AC05C6">
      <w:pPr>
        <w:spacing w:after="0"/>
        <w:ind w:left="120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биологические понятия для объяснения фактов и явлений живой природы;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AC05C6" w:rsidRPr="00502819" w:rsidRDefault="00CF54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AC05C6" w:rsidRPr="00502819" w:rsidRDefault="00AC05C6">
      <w:pPr>
        <w:spacing w:after="0"/>
        <w:ind w:left="120"/>
        <w:rPr>
          <w:sz w:val="24"/>
          <w:szCs w:val="24"/>
          <w:lang w:val="ru-RU"/>
        </w:rPr>
      </w:pPr>
    </w:p>
    <w:p w:rsidR="00AC05C6" w:rsidRPr="00502819" w:rsidRDefault="00CF5474">
      <w:pPr>
        <w:spacing w:after="0"/>
        <w:ind w:left="120"/>
        <w:rPr>
          <w:sz w:val="24"/>
          <w:szCs w:val="24"/>
          <w:lang w:val="ru-RU"/>
        </w:rPr>
      </w:pPr>
      <w:bookmarkStart w:id="4" w:name="_Toc138318760"/>
      <w:bookmarkStart w:id="5" w:name="_Toc134720971"/>
      <w:bookmarkEnd w:id="4"/>
      <w:bookmarkEnd w:id="5"/>
      <w:r w:rsidRPr="0050281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C05C6" w:rsidRPr="00502819" w:rsidRDefault="00AC05C6">
      <w:pPr>
        <w:spacing w:after="0"/>
        <w:ind w:left="120"/>
        <w:rPr>
          <w:sz w:val="24"/>
          <w:szCs w:val="24"/>
          <w:lang w:val="ru-RU"/>
        </w:rPr>
      </w:pP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AC05C6" w:rsidRPr="00502819" w:rsidRDefault="00CF5474">
      <w:pPr>
        <w:spacing w:after="0" w:line="264" w:lineRule="auto"/>
        <w:ind w:firstLine="600"/>
        <w:jc w:val="both"/>
        <w:rPr>
          <w:b/>
          <w:i/>
          <w:sz w:val="24"/>
          <w:szCs w:val="24"/>
          <w:u w:val="single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 w:rsidRPr="00502819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ru-RU"/>
        </w:rPr>
        <w:t>в 10 классе должны отражать: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</w:t>
      </w: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AC05C6" w:rsidRPr="00502819" w:rsidRDefault="00CF54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02819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AC05C6" w:rsidRPr="00CF5474" w:rsidRDefault="00AC05C6">
      <w:pPr>
        <w:rPr>
          <w:lang w:val="ru-RU"/>
        </w:rPr>
        <w:sectPr w:rsidR="00AC05C6" w:rsidRPr="00CF5474">
          <w:pgSz w:w="11906" w:h="16383"/>
          <w:pgMar w:top="1134" w:right="850" w:bottom="1134" w:left="1701" w:header="720" w:footer="720" w:gutter="0"/>
          <w:cols w:space="720"/>
        </w:sectPr>
      </w:pPr>
    </w:p>
    <w:p w:rsidR="00AC05C6" w:rsidRDefault="00CF5474">
      <w:pPr>
        <w:spacing w:after="0"/>
        <w:ind w:left="120"/>
      </w:pPr>
      <w:bookmarkStart w:id="6" w:name="block-11954521"/>
      <w:bookmarkEnd w:id="3"/>
      <w:r w:rsidRPr="00CF54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05C6" w:rsidRDefault="00CF5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20"/>
        <w:gridCol w:w="1910"/>
        <w:gridCol w:w="2824"/>
        <w:gridCol w:w="1939"/>
      </w:tblGrid>
      <w:tr w:rsidR="00AC05C6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5C6" w:rsidRDefault="00AC05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5C6" w:rsidRDefault="00AC05C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5C6" w:rsidRDefault="00AC05C6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Лабораторные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экскурсии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5C6" w:rsidRDefault="00AC05C6">
            <w:pPr>
              <w:spacing w:after="0"/>
              <w:ind w:left="135"/>
            </w:pPr>
          </w:p>
        </w:tc>
      </w:tr>
      <w:tr w:rsidR="00AC0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5C6" w:rsidRDefault="00AC0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5C6" w:rsidRDefault="00AC05C6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5C6" w:rsidRDefault="00AC05C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5C6" w:rsidRDefault="00AC0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5C6" w:rsidRDefault="00AC0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5C6" w:rsidRDefault="00AC05C6"/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Л.Р.2 (оц1)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Л.Р.1 (н/о)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 1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9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AC0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C05C6" w:rsidRDefault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05C6" w:rsidRPr="00CF5474" w:rsidRDefault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Л.Р. 4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2) </w:t>
            </w:r>
          </w:p>
          <w:p w:rsidR="00AC05C6" w:rsidRPr="00CF5474" w:rsidRDefault="00CF5474" w:rsidP="00CF54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экскурсия</w:t>
            </w:r>
          </w:p>
        </w:tc>
      </w:tr>
    </w:tbl>
    <w:p w:rsidR="00AC05C6" w:rsidRPr="00CF5474" w:rsidRDefault="00AC05C6">
      <w:pPr>
        <w:rPr>
          <w:lang w:val="ru-RU"/>
        </w:rPr>
        <w:sectPr w:rsidR="00AC05C6" w:rsidRPr="00CF5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474" w:rsidRDefault="00CF5474" w:rsidP="00CF547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F5474" w:rsidRDefault="00CF5474" w:rsidP="00CF54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899"/>
        <w:gridCol w:w="1177"/>
        <w:gridCol w:w="1910"/>
        <w:gridCol w:w="1347"/>
        <w:gridCol w:w="2861"/>
        <w:gridCol w:w="1939"/>
      </w:tblGrid>
      <w:tr w:rsidR="00CF5474" w:rsidTr="00CF5474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Лабораторные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экскурсии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474" w:rsidRDefault="00CF5474" w:rsidP="00CF5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474" w:rsidRDefault="00CF5474" w:rsidP="00CF547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474" w:rsidRDefault="00CF5474" w:rsidP="00CF5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474" w:rsidRDefault="00CF5474" w:rsidP="00CF54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5474" w:rsidRDefault="00CF5474" w:rsidP="00CF5474"/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</w:t>
            </w:r>
          </w:p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Практическая работа № 1 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«Использование различных методов при изучении биологических объектов» 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Лабораторная работа № 1 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каталитической активности ферментов (на примере амилазы или каталазы)»</w:t>
            </w:r>
            <w:r w:rsidR="002C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012E"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 1 (н/о)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</w:t>
            </w:r>
          </w:p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№ 2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строения клеток растений, животных, грибов и бактерий под микроскопом на готовых микропрепаратах и их описание» 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</w:t>
            </w:r>
            <w:proofErr w:type="spellStart"/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оц</w:t>
            </w:r>
            <w:proofErr w:type="spellEnd"/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 1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клетки. Митоз. </w:t>
            </w:r>
          </w:p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№ 3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«Наблюдение митоза в клетках кончика корешка лука на готовых микропрепаратах» (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н/о)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 1 (н/о)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</w:t>
            </w:r>
          </w:p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Лабораторная работа № 4.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Изучение </w:t>
            </w:r>
            <w:proofErr w:type="spellStart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изменчивости, построение вариационного ряда и вариационной кривой» (</w:t>
            </w:r>
            <w:proofErr w:type="spellStart"/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оц</w:t>
            </w:r>
            <w:proofErr w:type="spellEnd"/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Л.Р. 1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человека </w:t>
            </w:r>
          </w:p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№ 2.</w:t>
            </w: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"Составление родословных человека" (</w:t>
            </w:r>
            <w:r w:rsidRPr="002C01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н/о)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012E" w:rsidRDefault="00CF5474" w:rsidP="00CF5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 достижения селекции растений и животных. </w:t>
            </w:r>
          </w:p>
          <w:p w:rsidR="00CF5474" w:rsidRPr="002C012E" w:rsidRDefault="00CF5474" w:rsidP="00CF5474">
            <w:pPr>
              <w:spacing w:after="0"/>
              <w:ind w:left="135"/>
              <w:rPr>
                <w:i/>
              </w:rPr>
            </w:pPr>
            <w:proofErr w:type="spellStart"/>
            <w:r w:rsidRPr="002C012E">
              <w:rPr>
                <w:rFonts w:ascii="Times New Roman" w:hAnsi="Times New Roman"/>
                <w:i/>
                <w:color w:val="000000"/>
                <w:sz w:val="24"/>
              </w:rPr>
              <w:t>Экскурсия</w:t>
            </w:r>
            <w:proofErr w:type="spellEnd"/>
            <w:r w:rsidRPr="002C012E">
              <w:rPr>
                <w:rFonts w:ascii="Times New Roman" w:hAnsi="Times New Roman"/>
                <w:i/>
                <w:color w:val="000000"/>
                <w:sz w:val="24"/>
              </w:rPr>
              <w:t xml:space="preserve"> № 1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54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«Наследственность и изменчивость организмов»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F5474" w:rsidTr="00CF5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rPr>
                <w:lang w:val="ru-RU"/>
              </w:rPr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ind w:left="135"/>
              <w:jc w:val="center"/>
            </w:pPr>
            <w:r w:rsidRPr="00CF5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CF5474" w:rsidRPr="00CF5474" w:rsidRDefault="00CF5474" w:rsidP="00CF5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(н/о)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5474" w:rsidRDefault="00CF5474" w:rsidP="00CF54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Л.Р. 4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2)</w:t>
            </w:r>
          </w:p>
          <w:p w:rsidR="00CF5474" w:rsidRPr="00CF5474" w:rsidRDefault="00CF5474" w:rsidP="00CF54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экскурсия</w:t>
            </w:r>
          </w:p>
        </w:tc>
      </w:tr>
    </w:tbl>
    <w:p w:rsidR="00CF5474" w:rsidRDefault="00CF5474" w:rsidP="00CF5474">
      <w:pPr>
        <w:sectPr w:rsidR="00CF54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0B7" w:rsidRPr="006B6BFF" w:rsidRDefault="003510B7" w:rsidP="003510B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B6BF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510B7" w:rsidRPr="006B6BFF" w:rsidRDefault="003510B7" w:rsidP="003510B7">
      <w:pPr>
        <w:spacing w:after="0"/>
        <w:ind w:left="120"/>
        <w:rPr>
          <w:sz w:val="24"/>
          <w:szCs w:val="24"/>
          <w:lang w:val="ru-RU"/>
        </w:rPr>
      </w:pPr>
    </w:p>
    <w:p w:rsidR="003510B7" w:rsidRPr="006B6BFF" w:rsidRDefault="003510B7" w:rsidP="003510B7">
      <w:pPr>
        <w:spacing w:after="0" w:line="480" w:lineRule="auto"/>
        <w:ind w:left="120"/>
        <w:rPr>
          <w:sz w:val="24"/>
          <w:szCs w:val="24"/>
          <w:lang w:val="ru-RU"/>
        </w:rPr>
      </w:pPr>
      <w:r w:rsidRPr="006B6BF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510B7" w:rsidRPr="006B6BFF" w:rsidRDefault="003510B7" w:rsidP="00A0602E">
      <w:pPr>
        <w:spacing w:after="0"/>
        <w:ind w:left="120"/>
        <w:rPr>
          <w:sz w:val="24"/>
          <w:szCs w:val="24"/>
          <w:lang w:val="ru-RU"/>
        </w:rPr>
      </w:pPr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​‌​‌Биология. 10 </w:t>
      </w:r>
      <w:proofErr w:type="spellStart"/>
      <w:proofErr w:type="gram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.:</w:t>
      </w:r>
      <w:proofErr w:type="gram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общеобразовательных учреждений / </w:t>
      </w:r>
      <w:proofErr w:type="spell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В.В.Пасечник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А.А.Каменский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, , </w:t>
      </w:r>
      <w:proofErr w:type="spell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А.М.Рубцов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Г.Г.Швецов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З.Г.Гапонюк</w:t>
      </w:r>
      <w:proofErr w:type="spellEnd"/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: - М., Просвещение. Линия жизни‌</w:t>
      </w:r>
    </w:p>
    <w:p w:rsidR="003510B7" w:rsidRPr="006B6BFF" w:rsidRDefault="003510B7" w:rsidP="003510B7">
      <w:pPr>
        <w:spacing w:after="0"/>
        <w:ind w:left="120"/>
        <w:rPr>
          <w:sz w:val="24"/>
          <w:szCs w:val="24"/>
          <w:lang w:val="ru-RU"/>
        </w:rPr>
      </w:pPr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510B7" w:rsidRPr="006B6BFF" w:rsidRDefault="003510B7" w:rsidP="003510B7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B6BF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0602E" w:rsidRPr="006B6BFF" w:rsidRDefault="00A0602E" w:rsidP="00A0602E">
      <w:pPr>
        <w:pStyle w:val="Default"/>
        <w:numPr>
          <w:ilvl w:val="0"/>
          <w:numId w:val="3"/>
        </w:numPr>
      </w:pPr>
      <w:r w:rsidRPr="006B6BFF">
        <w:t xml:space="preserve">Институт стратегии развития образования. Федеральная рабочая программа среднего общего образования. Биология (базовый уровень) </w:t>
      </w:r>
    </w:p>
    <w:p w:rsidR="00A0602E" w:rsidRPr="006B6BFF" w:rsidRDefault="00A0602E" w:rsidP="00A0602E">
      <w:pPr>
        <w:pStyle w:val="Default"/>
      </w:pPr>
      <w:r w:rsidRPr="006B6BFF">
        <w:t>(для 10–11 классов образовательных организаций</w:t>
      </w:r>
      <w:proofErr w:type="gramStart"/>
      <w:r w:rsidRPr="006B6BFF">
        <w:t>) .Москва</w:t>
      </w:r>
      <w:proofErr w:type="gramEnd"/>
      <w:r w:rsidRPr="006B6BFF">
        <w:t xml:space="preserve"> . 2023 г</w:t>
      </w:r>
    </w:p>
    <w:p w:rsidR="00A0602E" w:rsidRPr="006B6BFF" w:rsidRDefault="00A0602E" w:rsidP="00A0602E">
      <w:pPr>
        <w:pStyle w:val="Default"/>
      </w:pPr>
      <w:r w:rsidRPr="006B6BFF">
        <w:t xml:space="preserve"> </w:t>
      </w:r>
    </w:p>
    <w:p w:rsidR="003510B7" w:rsidRPr="006B6BFF" w:rsidRDefault="003510B7" w:rsidP="00A0602E">
      <w:pPr>
        <w:pStyle w:val="ae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F0F0F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color w:val="0F0F0F"/>
          <w:sz w:val="24"/>
          <w:szCs w:val="24"/>
          <w:bdr w:val="none" w:sz="0" w:space="0" w:color="auto" w:frame="1"/>
          <w:lang w:val="ru-RU" w:eastAsia="ru-RU"/>
        </w:rPr>
        <w:t>Просвещение</w:t>
      </w:r>
      <w:r w:rsidRPr="006B6BFF">
        <w:rPr>
          <w:rFonts w:ascii="Times New Roman" w:eastAsia="Times New Roman" w:hAnsi="Times New Roman" w:cs="Times New Roman"/>
          <w:color w:val="0F0F0F"/>
          <w:sz w:val="24"/>
          <w:szCs w:val="24"/>
          <w:lang w:val="ru-RU" w:eastAsia="ru-RU"/>
        </w:rPr>
        <w:t>​</w:t>
      </w:r>
      <w:r w:rsidRPr="006B6BFF">
        <w:rPr>
          <w:rFonts w:ascii="Times New Roman" w:eastAsia="Times New Roman" w:hAnsi="Times New Roman" w:cs="Times New Roman"/>
          <w:color w:val="0F0F0F"/>
          <w:sz w:val="24"/>
          <w:szCs w:val="24"/>
          <w:bdr w:val="none" w:sz="0" w:space="0" w:color="auto" w:frame="1"/>
          <w:lang w:val="ru-RU" w:eastAsia="ru-RU"/>
        </w:rPr>
        <w:t>Методические мастерские:</w:t>
      </w:r>
      <w:r w:rsidRPr="006B6BFF">
        <w:rPr>
          <w:rFonts w:ascii="Times New Roman" w:eastAsia="Times New Roman" w:hAnsi="Times New Roman" w:cs="Times New Roman"/>
          <w:color w:val="0F0F0F"/>
          <w:sz w:val="24"/>
          <w:szCs w:val="24"/>
          <w:bdr w:val="none" w:sz="0" w:space="0" w:color="auto" w:frame="1"/>
          <w:lang w:eastAsia="ru-RU"/>
        </w:rPr>
        <w:t> </w:t>
      </w:r>
      <w:hyperlink r:id="rId49" w:tgtFrame="_blank" w:history="1"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</w:t>
        </w:r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://</w:t>
        </w:r>
        <w:proofErr w:type="spellStart"/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uchitel</w:t>
        </w:r>
        <w:proofErr w:type="spellEnd"/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.</w:t>
        </w:r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club</w:t>
        </w:r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val="ru-RU" w:eastAsia="ru-RU"/>
          </w:rPr>
          <w:t>/</w:t>
        </w:r>
        <w:r w:rsidRPr="006B6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workshops</w:t>
        </w:r>
      </w:hyperlink>
    </w:p>
    <w:p w:rsidR="003510B7" w:rsidRPr="006B6BFF" w:rsidRDefault="003510B7" w:rsidP="003510B7">
      <w:pPr>
        <w:rPr>
          <w:sz w:val="24"/>
          <w:szCs w:val="24"/>
          <w:lang w:val="ru-RU"/>
        </w:rPr>
      </w:pPr>
    </w:p>
    <w:p w:rsidR="003510B7" w:rsidRPr="006B6BFF" w:rsidRDefault="003510B7" w:rsidP="003510B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510B7" w:rsidRPr="006B6BFF" w:rsidRDefault="00A0602E" w:rsidP="00A0602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3510B7" w:rsidRPr="006B6BF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510B7" w:rsidRPr="006B6BFF" w:rsidRDefault="003510B7" w:rsidP="003510B7">
      <w:pPr>
        <w:spacing w:after="0" w:line="480" w:lineRule="auto"/>
        <w:ind w:left="120"/>
        <w:rPr>
          <w:sz w:val="24"/>
          <w:szCs w:val="24"/>
          <w:lang w:val="ru-RU"/>
        </w:rPr>
      </w:pPr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B6BFF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6B6B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B6B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ar-SA"/>
        </w:rPr>
        <w:t xml:space="preserve">1.  «Единая коллекция Цифровых Образовательных Ресурсов» </w:t>
      </w: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(</w:t>
      </w:r>
      <w:hyperlink r:id="rId50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ar-SA"/>
          </w:rPr>
          <w:t>http://school-collection.edu.ru/</w:t>
        </w:r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).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hyperlink r:id="rId51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</w:t>
        </w:r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.</w:t>
        </w:r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bio</w:t>
        </w:r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.1</w:t>
        </w:r>
        <w:proofErr w:type="spellStart"/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september</w:t>
        </w:r>
        <w:proofErr w:type="spellEnd"/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газета «Биология» -приложение к «1 сентября».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3. .</w:t>
      </w:r>
      <w:hyperlink r:id="rId52" w:tgtFrame="_blank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http://bio.1september.ru/urok/</w:t>
        </w:r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 </w:t>
      </w:r>
      <w:hyperlink r:id="rId53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www.bio.</w:t>
        </w:r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nature</w:t>
        </w:r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научные новости биологии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5. </w:t>
      </w:r>
      <w:hyperlink r:id="rId54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http://ebio.ru/</w:t>
        </w:r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:rsidR="003510B7" w:rsidRPr="006B6BFF" w:rsidRDefault="003510B7" w:rsidP="003510B7">
      <w:pPr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6. .</w:t>
      </w:r>
      <w:hyperlink r:id="rId55" w:tgtFrame="_blank" w:history="1">
        <w:r w:rsidRPr="006B6BFF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ru-RU" w:eastAsia="ru-RU"/>
          </w:rPr>
          <w:t>http://www.gbmt.ru/</w:t>
        </w:r>
      </w:hyperlink>
      <w:r w:rsidRPr="006B6B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Государственный Биологический музей им. К. А. Тимирязева. Виртуальные экскурсии: Животные в миф</w:t>
      </w:r>
      <w:r w:rsidRPr="006B6B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:rsidR="00AF5158" w:rsidRPr="006B6BFF" w:rsidRDefault="00AF5158" w:rsidP="00AF515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B6B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7. </w:t>
      </w:r>
      <w:r w:rsidRPr="006B6BFF">
        <w:rPr>
          <w:rFonts w:ascii="Times New Roman" w:hAnsi="Times New Roman" w:cs="Times New Roman"/>
          <w:sz w:val="24"/>
          <w:szCs w:val="24"/>
          <w:lang w:val="ru-RU"/>
        </w:rPr>
        <w:t xml:space="preserve">Интернет-ресурс </w:t>
      </w:r>
      <w:r w:rsidRPr="006B6BFF">
        <w:rPr>
          <w:rFonts w:ascii="Times New Roman" w:hAnsi="Times New Roman" w:cs="Times New Roman"/>
          <w:sz w:val="24"/>
          <w:szCs w:val="24"/>
        </w:rPr>
        <w:t>WWW</w:t>
      </w:r>
      <w:r w:rsidRPr="006B6BF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B6BFF">
        <w:rPr>
          <w:rFonts w:ascii="Times New Roman" w:hAnsi="Times New Roman" w:cs="Times New Roman"/>
          <w:sz w:val="24"/>
          <w:szCs w:val="24"/>
        </w:rPr>
        <w:t>prosv</w:t>
      </w:r>
      <w:proofErr w:type="spellEnd"/>
      <w:r w:rsidRPr="006B6BF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B6BFF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AF5158" w:rsidRPr="006B6BFF" w:rsidRDefault="00AF5158" w:rsidP="003510B7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C05C6" w:rsidRPr="003510B7" w:rsidRDefault="00AC05C6" w:rsidP="00CF5474">
      <w:pPr>
        <w:spacing w:after="0"/>
        <w:rPr>
          <w:sz w:val="24"/>
          <w:szCs w:val="24"/>
          <w:lang w:val="ru-RU"/>
        </w:rPr>
        <w:sectPr w:rsidR="00AC05C6" w:rsidRPr="003510B7" w:rsidSect="003510B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C05C6" w:rsidRPr="003510B7" w:rsidRDefault="00AC05C6">
      <w:pPr>
        <w:rPr>
          <w:sz w:val="24"/>
          <w:szCs w:val="24"/>
          <w:lang w:val="ru-RU"/>
        </w:rPr>
        <w:sectPr w:rsidR="00AC05C6" w:rsidRPr="003510B7" w:rsidSect="003510B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6"/>
    <w:p w:rsidR="00CF5474" w:rsidRPr="00F62476" w:rsidRDefault="00CF5474">
      <w:pPr>
        <w:rPr>
          <w:lang w:val="ru-RU"/>
        </w:rPr>
      </w:pPr>
    </w:p>
    <w:sectPr w:rsidR="00CF5474" w:rsidRPr="00F624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F8B"/>
    <w:multiLevelType w:val="hybridMultilevel"/>
    <w:tmpl w:val="8072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4253"/>
    <w:multiLevelType w:val="hybridMultilevel"/>
    <w:tmpl w:val="6AE4230C"/>
    <w:lvl w:ilvl="0" w:tplc="9FCCDCBA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596E2AE0"/>
    <w:multiLevelType w:val="hybridMultilevel"/>
    <w:tmpl w:val="7054E41C"/>
    <w:lvl w:ilvl="0" w:tplc="EF2850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D1E22BC"/>
    <w:multiLevelType w:val="hybridMultilevel"/>
    <w:tmpl w:val="B57AB4FC"/>
    <w:lvl w:ilvl="0" w:tplc="2B0276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0755"/>
    <w:multiLevelType w:val="hybridMultilevel"/>
    <w:tmpl w:val="68200702"/>
    <w:lvl w:ilvl="0" w:tplc="B9B86648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05C6"/>
    <w:rsid w:val="002C012E"/>
    <w:rsid w:val="003510B7"/>
    <w:rsid w:val="004C39DB"/>
    <w:rsid w:val="00502819"/>
    <w:rsid w:val="006B6BFF"/>
    <w:rsid w:val="006F632A"/>
    <w:rsid w:val="00984FDC"/>
    <w:rsid w:val="00991C6F"/>
    <w:rsid w:val="009C3CFB"/>
    <w:rsid w:val="00A0602E"/>
    <w:rsid w:val="00AC05C6"/>
    <w:rsid w:val="00AF5158"/>
    <w:rsid w:val="00C4715F"/>
    <w:rsid w:val="00CA2965"/>
    <w:rsid w:val="00CF5474"/>
    <w:rsid w:val="00DF7097"/>
    <w:rsid w:val="00F6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5C2C7-00D6-4204-90A8-4484F718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0602E"/>
    <w:pPr>
      <w:ind w:left="720"/>
      <w:contextualSpacing/>
    </w:pPr>
  </w:style>
  <w:style w:type="paragraph" w:customStyle="1" w:styleId="Default">
    <w:name w:val="Default"/>
    <w:rsid w:val="00A06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DF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7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863e674e" TargetMode="External"/><Relationship Id="rId26" Type="http://schemas.openxmlformats.org/officeDocument/2006/relationships/hyperlink" Target="https://m.edsoo.ru/863e766c" TargetMode="External"/><Relationship Id="rId39" Type="http://schemas.openxmlformats.org/officeDocument/2006/relationships/hyperlink" Target="https://m.edsoo.ru/863e8878" TargetMode="External"/><Relationship Id="rId21" Type="http://schemas.openxmlformats.org/officeDocument/2006/relationships/hyperlink" Target="https://m.edsoo.ru/863e6870" TargetMode="External"/><Relationship Id="rId34" Type="http://schemas.openxmlformats.org/officeDocument/2006/relationships/hyperlink" Target="https://m.edsoo.ru/863e831e" TargetMode="External"/><Relationship Id="rId42" Type="http://schemas.openxmlformats.org/officeDocument/2006/relationships/hyperlink" Target="https://m.edsoo.ru/863e8c60" TargetMode="External"/><Relationship Id="rId47" Type="http://schemas.openxmlformats.org/officeDocument/2006/relationships/hyperlink" Target="https://m.edsoo.ru/863e9214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www.gbmt.ru/" TargetMode="Externa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863e6564" TargetMode="External"/><Relationship Id="rId25" Type="http://schemas.openxmlformats.org/officeDocument/2006/relationships/hyperlink" Target="https://m.edsoo.ru/863e716c" TargetMode="External"/><Relationship Id="rId33" Type="http://schemas.openxmlformats.org/officeDocument/2006/relationships/hyperlink" Target="https://m.edsoo.ru/863e81b6" TargetMode="External"/><Relationship Id="rId38" Type="http://schemas.openxmlformats.org/officeDocument/2006/relationships/hyperlink" Target="https://m.edsoo.ru/863e86f2" TargetMode="External"/><Relationship Id="rId46" Type="http://schemas.openxmlformats.org/officeDocument/2006/relationships/hyperlink" Target="https://m.edsoo.ru/863e92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6122" TargetMode="External"/><Relationship Id="rId20" Type="http://schemas.openxmlformats.org/officeDocument/2006/relationships/hyperlink" Target="https://m.edsoo.ru/863e6b72" TargetMode="External"/><Relationship Id="rId29" Type="http://schemas.openxmlformats.org/officeDocument/2006/relationships/hyperlink" Target="https://m.edsoo.ru/863e796e" TargetMode="External"/><Relationship Id="rId41" Type="http://schemas.openxmlformats.org/officeDocument/2006/relationships/hyperlink" Target="https://m.edsoo.ru/863e8c60" TargetMode="External"/><Relationship Id="rId54" Type="http://schemas.openxmlformats.org/officeDocument/2006/relationships/hyperlink" Target="http://eb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ff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436" TargetMode="External"/><Relationship Id="rId40" Type="http://schemas.openxmlformats.org/officeDocument/2006/relationships/hyperlink" Target="https://m.edsoo.ru/863e89a4" TargetMode="External"/><Relationship Id="rId45" Type="http://schemas.openxmlformats.org/officeDocument/2006/relationships/hyperlink" Target="https://m.edsoo.ru/863e8d78" TargetMode="External"/><Relationship Id="rId53" Type="http://schemas.openxmlformats.org/officeDocument/2006/relationships/hyperlink" Target="http://www.bio.nature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863e632a" TargetMode="External"/><Relationship Id="rId23" Type="http://schemas.openxmlformats.org/officeDocument/2006/relationships/hyperlink" Target="https://m.edsoo.ru/863e6e88" TargetMode="External"/><Relationship Id="rId28" Type="http://schemas.openxmlformats.org/officeDocument/2006/relationships/hyperlink" Target="https://m.edsoo.ru/863e7aae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www.youtube.com/redirect?event=live_chat&amp;redir_token=QUFFLUhqbGpXbFl1NnlKWHB5VnJObldnVDNCbzl5YnBoUXxBQ3Jtc0ttZEdteDZNOWN3UUMzZmxVZDJOaE45RC1RUGc5MmVZSFVZWW84OEVwQ1ZWUndGdWdVeUNTdmk0VTNyWUxCQjVyZUNiclF1RlB2Nk0yeVlzZzJIX1NzaFV2SUNqaXYyYkRTNXRqOGRYeGlVd0Z3MWx1cw&amp;q=https%3A%2F%2Fuchitel.club%2Fworkshops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b72" TargetMode="External"/><Relationship Id="rId31" Type="http://schemas.openxmlformats.org/officeDocument/2006/relationships/hyperlink" Target="https://m.edsoo.ru/863e7540" TargetMode="External"/><Relationship Id="rId44" Type="http://schemas.openxmlformats.org/officeDocument/2006/relationships/hyperlink" Target="https://m.edsoo.ru/863e8efe" TargetMode="External"/><Relationship Id="rId52" Type="http://schemas.openxmlformats.org/officeDocument/2006/relationships/hyperlink" Target="http://bio.1september.ru/uro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863e6122" TargetMode="External"/><Relationship Id="rId22" Type="http://schemas.openxmlformats.org/officeDocument/2006/relationships/hyperlink" Target="https://m.edsoo.ru/863e6d5c" TargetMode="External"/><Relationship Id="rId27" Type="http://schemas.openxmlformats.org/officeDocument/2006/relationships/hyperlink" Target="https://m.edsoo.ru/863e7c98" TargetMode="External"/><Relationship Id="rId30" Type="http://schemas.openxmlformats.org/officeDocument/2006/relationships/hyperlink" Target="https://m.edsoo.ru/863e796e" TargetMode="External"/><Relationship Id="rId35" Type="http://schemas.openxmlformats.org/officeDocument/2006/relationships/hyperlink" Target="https://m.edsoo.ru/863e7f4a" TargetMode="External"/><Relationship Id="rId43" Type="http://schemas.openxmlformats.org/officeDocument/2006/relationships/hyperlink" Target="https://m.edsoo.ru/863e8efe" TargetMode="External"/><Relationship Id="rId48" Type="http://schemas.openxmlformats.org/officeDocument/2006/relationships/hyperlink" Target="https://m.edsoo.ru/863e9336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://www.bio.1september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26</Pages>
  <Words>7746</Words>
  <Characters>44154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Катя</cp:lastModifiedBy>
  <cp:revision>10</cp:revision>
  <cp:lastPrinted>2023-09-18T11:25:00Z</cp:lastPrinted>
  <dcterms:created xsi:type="dcterms:W3CDTF">2023-09-02T07:07:00Z</dcterms:created>
  <dcterms:modified xsi:type="dcterms:W3CDTF">2023-09-25T15:17:00Z</dcterms:modified>
</cp:coreProperties>
</file>